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AB441D">
            <w:pPr>
              <w:pStyle w:val="EnvelopeReturn"/>
              <w:rPr>
                <w:rFonts w:ascii="Times New Roman" w:hAnsi="Times New Roman"/>
                <w:szCs w:val="24"/>
                <w:lang w:val="en-GB"/>
              </w:rPr>
            </w:pPr>
            <w:r>
              <w:rPr>
                <w:rFonts w:ascii="Times New Roman" w:hAnsi="Times New Roman"/>
                <w:szCs w:val="24"/>
                <w:lang w:val="en-GB"/>
              </w:rPr>
              <w:t xml:space="preserve"> </w:t>
            </w:r>
          </w:p>
          <w:p w:rsidR="005846A4" w:rsidRDefault="005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FE5137">
            <w:pPr>
              <w:rPr>
                <w:b/>
                <w:lang w:val="en-GB"/>
              </w:rPr>
            </w:pPr>
            <w:r>
              <w:rPr>
                <w:b/>
                <w:lang w:val="en-GB"/>
              </w:rPr>
              <w:t>FACULTY</w:t>
            </w:r>
            <w:r w:rsidR="005846A4">
              <w:rPr>
                <w:b/>
                <w:lang w:val="en-GB"/>
              </w:rPr>
              <w:t>:</w:t>
            </w:r>
          </w:p>
          <w:p w:rsidR="005846A4" w:rsidRDefault="005846A4"/>
        </w:tc>
        <w:tc>
          <w:tcPr>
            <w:tcW w:w="7040" w:type="dxa"/>
            <w:gridSpan w:val="5"/>
            <w:tcBorders>
              <w:top w:val="nil"/>
              <w:left w:val="nil"/>
              <w:bottom w:val="nil"/>
              <w:right w:val="single" w:sz="12" w:space="0" w:color="000000"/>
            </w:tcBorders>
          </w:tcPr>
          <w:p w:rsidR="005846A4" w:rsidRDefault="00FE5137">
            <w:r>
              <w:t>Donna Mansfield</w:t>
            </w:r>
            <w:r w:rsidR="005846A4">
              <w:t xml:space="preserve">, </w:t>
            </w:r>
            <w:proofErr w:type="spellStart"/>
            <w:r w:rsidR="005846A4">
              <w:t>CCW</w:t>
            </w:r>
            <w:proofErr w:type="spellEnd"/>
            <w:r w:rsidR="005846A4">
              <w:t>, (</w:t>
            </w:r>
            <w:proofErr w:type="spellStart"/>
            <w:r w:rsidR="005846A4">
              <w:t>CYC</w:t>
            </w:r>
            <w:proofErr w:type="spellEnd"/>
            <w:r w:rsidR="005846A4">
              <w:t xml:space="preserve"> Cert)</w:t>
            </w:r>
            <w:r>
              <w:t xml:space="preserve">, </w:t>
            </w:r>
            <w:proofErr w:type="spellStart"/>
            <w:r>
              <w:t>BSW</w:t>
            </w:r>
            <w:proofErr w:type="spellEnd"/>
            <w:r>
              <w:t xml:space="preserve">, </w:t>
            </w:r>
            <w:proofErr w:type="spellStart"/>
            <w:r>
              <w:t>RSW</w:t>
            </w:r>
            <w:proofErr w:type="spellEnd"/>
          </w:p>
          <w:p w:rsidR="005846A4" w:rsidRDefault="005846A4" w:rsidP="00B20FBD"/>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011E8C">
            <w:r>
              <w:t>Jan. 20</w:t>
            </w:r>
            <w:r w:rsidR="00B20FBD">
              <w:t>1</w:t>
            </w:r>
            <w:r w:rsidR="00A31264">
              <w:t>4</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011E8C">
            <w:r>
              <w:t>Jan. 20</w:t>
            </w:r>
            <w:r w:rsidR="00C222DB">
              <w:t>1</w:t>
            </w:r>
            <w:r w:rsidR="00A31264">
              <w:t>3</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Default="006D1679">
            <w:pPr>
              <w:jc w:val="center"/>
            </w:pPr>
            <w:r>
              <w:t>“Angelique Lemay”</w:t>
            </w:r>
          </w:p>
        </w:tc>
        <w:tc>
          <w:tcPr>
            <w:tcW w:w="1890" w:type="dxa"/>
            <w:tcBorders>
              <w:top w:val="nil"/>
              <w:left w:val="nil"/>
              <w:bottom w:val="nil"/>
              <w:right w:val="single" w:sz="12" w:space="0" w:color="000000"/>
            </w:tcBorders>
          </w:tcPr>
          <w:p w:rsidR="005846A4" w:rsidRDefault="006D1679">
            <w:bookmarkStart w:id="0" w:name="_GoBack"/>
            <w:r>
              <w:t>Dec/13</w:t>
            </w:r>
            <w:bookmarkEnd w:id="0"/>
          </w:p>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441FE0" w:rsidRPr="003E697E" w:rsidRDefault="003E697E" w:rsidP="003E697E">
            <w:pPr>
              <w:pStyle w:val="Heading2"/>
              <w:spacing w:before="0" w:after="0"/>
              <w:jc w:val="center"/>
              <w:rPr>
                <w:rFonts w:ascii="Times New Roman" w:hAnsi="Times New Roman"/>
                <w:i w:val="0"/>
              </w:rPr>
            </w:pPr>
            <w:r w:rsidRPr="003E697E">
              <w:rPr>
                <w:rFonts w:ascii="Times New Roman" w:hAnsi="Times New Roman"/>
                <w:i w:val="0"/>
              </w:rPr>
              <w:t>DEAN</w:t>
            </w: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3E697E" w:rsidRPr="003E697E" w:rsidRDefault="003E697E">
            <w:pPr>
              <w:rPr>
                <w:lang w:val="en-US"/>
              </w:rPr>
            </w:pPr>
          </w:p>
          <w:p w:rsidR="005846A4" w:rsidRPr="003E697E" w:rsidRDefault="008540FE">
            <w:pPr>
              <w:pStyle w:val="Heading2"/>
              <w:tabs>
                <w:tab w:val="center" w:pos="4560"/>
              </w:tabs>
              <w:spacing w:before="0" w:after="0"/>
              <w:jc w:val="center"/>
              <w:rPr>
                <w:rFonts w:ascii="Times New Roman" w:hAnsi="Times New Roman"/>
                <w:i w:val="0"/>
              </w:rPr>
            </w:pPr>
            <w:r w:rsidRPr="003E697E">
              <w:rPr>
                <w:rFonts w:ascii="Times New Roman" w:hAnsi="Times New Roman"/>
                <w:i w:val="0"/>
              </w:rPr>
              <w:t>Copyright © 201</w:t>
            </w:r>
            <w:r w:rsidR="00011E8C" w:rsidRPr="003E697E">
              <w:rPr>
                <w:rFonts w:ascii="Times New Roman" w:hAnsi="Times New Roman"/>
                <w:i w:val="0"/>
              </w:rPr>
              <w:t>2</w:t>
            </w:r>
            <w:r w:rsidR="003D4BB7" w:rsidRPr="003E697E">
              <w:rPr>
                <w:rFonts w:ascii="Times New Roman" w:hAnsi="Times New Roman"/>
                <w:i w:val="0"/>
              </w:rPr>
              <w:t xml:space="preserve"> </w:t>
            </w:r>
            <w:r w:rsidR="005846A4" w:rsidRPr="003E697E">
              <w:rPr>
                <w:rFonts w:ascii="Times New Roman" w:hAnsi="Times New Roman"/>
                <w:i w:val="0"/>
              </w:rPr>
              <w:t>The Sault College of Applied Arts &amp; Technology</w:t>
            </w:r>
          </w:p>
          <w:p w:rsidR="005846A4" w:rsidRPr="003E697E" w:rsidRDefault="005846A4">
            <w:pPr>
              <w:tabs>
                <w:tab w:val="center" w:pos="4560"/>
              </w:tabs>
              <w:jc w:val="center"/>
              <w:rPr>
                <w:i/>
                <w:lang w:val="en-GB"/>
              </w:rPr>
            </w:pPr>
            <w:r w:rsidRPr="003E697E">
              <w:rPr>
                <w:i/>
                <w:lang w:val="en-GB"/>
              </w:rPr>
              <w:t>Reproduction of this document by any means, in whole or in part, without prior</w:t>
            </w:r>
          </w:p>
          <w:p w:rsidR="005846A4" w:rsidRPr="003E697E" w:rsidRDefault="005846A4">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written permission of </w:t>
            </w:r>
            <w:smartTag w:uri="urn:schemas-microsoft-com:office:smarttags" w:element="place">
              <w:smartTag w:uri="urn:schemas-microsoft-com:office:smarttags" w:element="PlaceName">
                <w:r w:rsidRPr="003E697E">
                  <w:rPr>
                    <w:rFonts w:ascii="Times New Roman" w:hAnsi="Times New Roman"/>
                    <w:b w:val="0"/>
                  </w:rPr>
                  <w:t>Sault</w:t>
                </w:r>
              </w:smartTag>
              <w:r w:rsidRPr="003E697E">
                <w:rPr>
                  <w:rFonts w:ascii="Times New Roman" w:hAnsi="Times New Roman"/>
                  <w:b w:val="0"/>
                </w:rPr>
                <w:t xml:space="preserve"> </w:t>
              </w:r>
              <w:smartTag w:uri="urn:schemas-microsoft-com:office:smarttags" w:element="PlaceType">
                <w:r w:rsidRPr="003E697E">
                  <w:rPr>
                    <w:rFonts w:ascii="Times New Roman" w:hAnsi="Times New Roman"/>
                    <w:b w:val="0"/>
                  </w:rPr>
                  <w:t>College</w:t>
                </w:r>
              </w:smartTag>
            </w:smartTag>
            <w:r w:rsidRPr="003E697E">
              <w:rPr>
                <w:rFonts w:ascii="Times New Roman" w:hAnsi="Times New Roman"/>
                <w:b w:val="0"/>
              </w:rPr>
              <w:t xml:space="preserv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3E697E" w:rsidRDefault="005846A4" w:rsidP="003E697E">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For additional information, please contact </w:t>
            </w:r>
            <w:r w:rsidR="003E697E" w:rsidRPr="003E697E">
              <w:rPr>
                <w:rFonts w:ascii="Times New Roman" w:hAnsi="Times New Roman"/>
                <w:b w:val="0"/>
              </w:rPr>
              <w:t>Angelique Lemay</w:t>
            </w:r>
            <w:r w:rsidR="003E697E" w:rsidRPr="003E697E">
              <w:rPr>
                <w:rFonts w:ascii="Times New Roman" w:hAnsi="Times New Roman"/>
              </w:rPr>
              <w:t xml:space="preserve">, </w:t>
            </w:r>
            <w:r w:rsidR="003E697E" w:rsidRPr="003E697E">
              <w:rPr>
                <w:rFonts w:ascii="Times New Roman" w:hAnsi="Times New Roman"/>
                <w:b w:val="0"/>
              </w:rPr>
              <w:t>Dean</w:t>
            </w:r>
          </w:p>
          <w:p w:rsidR="003E697E" w:rsidRPr="003E697E" w:rsidRDefault="003E697E" w:rsidP="003E697E">
            <w:pPr>
              <w:jc w:val="center"/>
              <w:rPr>
                <w:lang w:val="en-US"/>
              </w:rPr>
            </w:pPr>
            <w:r w:rsidRPr="003E697E">
              <w:rPr>
                <w:i/>
              </w:rPr>
              <w:t>School of Community Services and Interdisciplinary Studies.</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Pr="003E697E" w:rsidRDefault="005846A4">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sidRPr="003E697E">
                <w:rPr>
                  <w:i/>
                  <w:lang w:val="en-GB"/>
                </w:rPr>
                <w:t xml:space="preserve">(705) </w:t>
              </w:r>
              <w:smartTag w:uri="urn:schemas-microsoft-com:office:smarttags" w:element="phone">
                <w:smartTagPr>
                  <w:attr w:name="phonenumber" w:val="$67592554"/>
                  <w:attr w:uri="urn:schemas-microsoft-com:office:office" w:name="ls" w:val="trans"/>
                </w:smartTagPr>
                <w:r w:rsidRPr="003E697E">
                  <w:rPr>
                    <w:i/>
                    <w:lang w:val="en-GB"/>
                  </w:rPr>
                  <w:t>759-2554</w:t>
                </w:r>
              </w:smartTag>
            </w:smartTag>
            <w:r w:rsidRPr="003E697E">
              <w:rPr>
                <w:i/>
                <w:lang w:val="en-GB"/>
              </w:rPr>
              <w:t xml:space="preserve">, Ext. </w:t>
            </w:r>
            <w:r w:rsidR="00441FE0" w:rsidRPr="003E697E">
              <w:rPr>
                <w:i/>
                <w:lang w:val="en-GB"/>
              </w:rPr>
              <w:t>2</w:t>
            </w:r>
            <w:r w:rsidRPr="003E697E">
              <w:rPr>
                <w:i/>
                <w:lang w:val="en-GB"/>
              </w:rPr>
              <w:t>603</w:t>
            </w:r>
          </w:p>
          <w:p w:rsidR="008540FE" w:rsidRPr="003E697E" w:rsidRDefault="008540FE">
            <w:pPr>
              <w:tabs>
                <w:tab w:val="center" w:pos="4560"/>
              </w:tabs>
              <w:jc w:val="center"/>
              <w:rPr>
                <w:i/>
              </w:rPr>
            </w:pPr>
          </w:p>
          <w:p w:rsidR="005846A4" w:rsidRPr="003E697E" w:rsidRDefault="005846A4">
            <w:pPr>
              <w:tabs>
                <w:tab w:val="center" w:pos="4560"/>
              </w:tabs>
              <w:jc w:val="center"/>
              <w:rPr>
                <w:i/>
              </w:rPr>
            </w:pPr>
          </w:p>
        </w:tc>
      </w:tr>
    </w:tbl>
    <w:p w:rsidR="005846A4" w:rsidRDefault="005846A4" w:rsidP="005846A4">
      <w:pPr>
        <w:rPr>
          <w:rFonts w:ascii="Arial" w:hAnsi="Arial"/>
          <w:i/>
          <w:lang w:val="en-GB"/>
        </w:rPr>
        <w:sectPr w:rsidR="005846A4" w:rsidSect="003E697E">
          <w:pgSz w:w="12240" w:h="15840"/>
          <w:pgMar w:top="1440" w:right="1440" w:bottom="90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BD3ED6">
      <w:pPr>
        <w:numPr>
          <w:ilvl w:val="12"/>
          <w:numId w:val="0"/>
        </w:numPr>
        <w:ind w:left="576"/>
        <w:jc w:val="both"/>
      </w:pPr>
      <w:r>
        <w:t xml:space="preserve">This course will provide students with a practical orientation to the Youth Criminal Justice Act.  This will include a review of origins and philosophical principles, and how legislation is operationalized, with an emphasis on the local service delivery system.  It will </w:t>
      </w:r>
      <w:r w:rsidR="00960A60">
        <w:t xml:space="preserve">examine the role of the </w:t>
      </w:r>
      <w:proofErr w:type="spellStart"/>
      <w:r w:rsidR="00960A60">
        <w:t>CYW</w:t>
      </w:r>
      <w:proofErr w:type="spellEnd"/>
      <w:r w:rsidR="00960A60">
        <w:t xml:space="preserve"> in the prevention of youth crime as well as in intervention at the community level, in custody settings and elsewhere in the criminal justice system.  It will focus particularly on </w:t>
      </w:r>
      <w:r>
        <w:t xml:space="preserve">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w:t>
      </w:r>
      <w:r w:rsidR="00EA2E32">
        <w:t>audio-visual</w:t>
      </w:r>
      <w:r>
        <w:t xml:space="preserve">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 xml:space="preserve">LEARNING OUTCOMES </w:t>
      </w:r>
      <w:smartTag w:uri="urn:schemas-microsoft-com:office:smarttags" w:element="stockticker">
        <w:r>
          <w:t>AND</w:t>
        </w:r>
      </w:smartTag>
      <w:r>
        <w:t xml:space="preserve">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t>Canada</w:t>
          </w:r>
        </w:smartTag>
      </w:smartTag>
      <w:r>
        <w:t>.</w:t>
      </w:r>
    </w:p>
    <w:p w:rsidR="005846A4" w:rsidRDefault="005846A4" w:rsidP="005846A4">
      <w:pPr>
        <w:ind w:left="900"/>
      </w:pPr>
    </w:p>
    <w:p w:rsidR="005846A4" w:rsidRDefault="005846A4" w:rsidP="005846A4">
      <w:pPr>
        <w:ind w:left="540"/>
        <w:rPr>
          <w:b/>
        </w:rPr>
      </w:pPr>
      <w:r>
        <w:rPr>
          <w:b/>
        </w:rPr>
        <w:t>Potential Elements of Performance</w:t>
      </w:r>
    </w:p>
    <w:p w:rsidR="005846A4" w:rsidRDefault="00C222DB" w:rsidP="005846A4">
      <w:pPr>
        <w:numPr>
          <w:ilvl w:val="0"/>
          <w:numId w:val="3"/>
        </w:numPr>
      </w:pPr>
      <w:r>
        <w:t>i</w:t>
      </w:r>
      <w:r w:rsidR="005846A4">
        <w:t>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r>
        <w:t xml:space="preserve">examine the information and select what is most relevant, important and useful to a </w:t>
      </w:r>
      <w:proofErr w:type="spellStart"/>
      <w:r>
        <w:t>CYW</w:t>
      </w:r>
      <w:proofErr w:type="spellEnd"/>
      <w:r>
        <w:t xml:space="preserve"> working with youth in conflict with the law, those at risk of offending and/or their families.</w:t>
      </w:r>
    </w:p>
    <w:p w:rsidR="005846A4" w:rsidRPr="00960A60" w:rsidRDefault="00C222DB" w:rsidP="005846A4">
      <w:pPr>
        <w:numPr>
          <w:ilvl w:val="0"/>
          <w:numId w:val="3"/>
        </w:numPr>
        <w:rPr>
          <w:b/>
          <w:i/>
        </w:rPr>
      </w:pPr>
      <w:r>
        <w:t>i</w:t>
      </w:r>
      <w:r w:rsidR="005846A4">
        <w:t>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C222DB" w:rsidP="00960A60">
      <w:pPr>
        <w:numPr>
          <w:ilvl w:val="0"/>
          <w:numId w:val="3"/>
        </w:numPr>
        <w:rPr>
          <w:b/>
          <w:i/>
        </w:rPr>
      </w:pPr>
      <w:r>
        <w:t>u</w:t>
      </w:r>
      <w:r w:rsidR="005846A4">
        <w:t>tilize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r>
        <w:t>plan and implement selected strategies to meet client needs within the context of their current environments.</w:t>
      </w:r>
    </w:p>
    <w:p w:rsidR="005846A4" w:rsidRDefault="005846A4" w:rsidP="005846A4">
      <w:pPr>
        <w:numPr>
          <w:ilvl w:val="0"/>
          <w:numId w:val="3"/>
        </w:numPr>
        <w:ind w:left="1080"/>
        <w:rPr>
          <w:b/>
          <w:i/>
        </w:rPr>
      </w:pPr>
      <w:r>
        <w:t>evaluate the results of implemented strategies and make necessary adaptations which facilitate positive change.</w:t>
      </w:r>
    </w:p>
    <w:p w:rsidR="005846A4" w:rsidRPr="008540FE" w:rsidRDefault="005846A4" w:rsidP="00441FE0">
      <w:pPr>
        <w:numPr>
          <w:ilvl w:val="0"/>
          <w:numId w:val="3"/>
        </w:numPr>
        <w:ind w:left="1080"/>
        <w:rPr>
          <w:b/>
          <w:i/>
        </w:rPr>
      </w:pPr>
      <w:r>
        <w:t>utilize therapeutic activities to maximize learning and growth for youth in conflict with the law, those at risk of offending and/or their families.</w:t>
      </w:r>
      <w:r w:rsidR="00441FE0">
        <w:br w:type="page"/>
      </w:r>
    </w:p>
    <w:p w:rsidR="005846A4" w:rsidRDefault="005846A4" w:rsidP="00441FE0">
      <w:pPr>
        <w:pStyle w:val="Heading3"/>
        <w:numPr>
          <w:ilvl w:val="0"/>
          <w:numId w:val="4"/>
        </w:numPr>
        <w:spacing w:before="0" w:after="0"/>
      </w:pPr>
      <w:r>
        <w:lastRenderedPageBreak/>
        <w:t xml:space="preserve">LEARNING OUTCOMES </w:t>
      </w:r>
      <w:smartTag w:uri="urn:schemas-microsoft-com:office:smarttags" w:element="stockticker">
        <w:r>
          <w:t>AND</w:t>
        </w:r>
      </w:smartTag>
      <w:r>
        <w:t xml:space="preserve">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r>
        <w:t>regularly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r>
        <w:t>choose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w:t>
      </w:r>
      <w:proofErr w:type="spellStart"/>
      <w:r>
        <w:t>YCJA</w:t>
      </w:r>
      <w:proofErr w:type="spellEnd"/>
      <w:r>
        <w:t xml:space="preserve">, </w:t>
      </w:r>
      <w:proofErr w:type="spellStart"/>
      <w:r>
        <w:t>CFSA</w:t>
      </w:r>
      <w:proofErr w:type="spellEnd"/>
      <w:r>
        <w:t>)</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 xml:space="preserve">The Role of the </w:t>
      </w:r>
      <w:proofErr w:type="spellStart"/>
      <w:r>
        <w:t>CYW</w:t>
      </w:r>
      <w:proofErr w:type="spellEnd"/>
      <w:r>
        <w:t xml:space="preserve">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3E697E" w:rsidRDefault="003E697E" w:rsidP="003E697E">
      <w:pPr>
        <w:tabs>
          <w:tab w:val="left" w:pos="1170"/>
        </w:tabs>
        <w:ind w:left="576"/>
      </w:pPr>
      <w:proofErr w:type="spellStart"/>
      <w:r>
        <w:t>Winterdyk</w:t>
      </w:r>
      <w:proofErr w:type="spellEnd"/>
      <w:r>
        <w:t xml:space="preserve">, J. and </w:t>
      </w:r>
      <w:proofErr w:type="spellStart"/>
      <w:r>
        <w:t>Smandych</w:t>
      </w:r>
      <w:proofErr w:type="spellEnd"/>
      <w:r>
        <w:t xml:space="preserve">, R. (2012). </w:t>
      </w:r>
      <w:r w:rsidRPr="003E697E">
        <w:rPr>
          <w:i/>
        </w:rPr>
        <w:t xml:space="preserve">Youth at risk and youth justice: A Canadian </w:t>
      </w:r>
      <w:r w:rsidR="00A31264">
        <w:rPr>
          <w:i/>
        </w:rPr>
        <w:t>O</w:t>
      </w:r>
      <w:r w:rsidRPr="003E697E">
        <w:rPr>
          <w:i/>
        </w:rPr>
        <w:t>verview</w:t>
      </w:r>
      <w:r>
        <w:t>. Don Mills, ON: Oxford University Press.</w:t>
      </w:r>
    </w:p>
    <w:p w:rsidR="003E697E" w:rsidRDefault="003E697E" w:rsidP="003E697E">
      <w:pPr>
        <w:ind w:left="576"/>
      </w:pPr>
    </w:p>
    <w:p w:rsidR="005846A4" w:rsidRDefault="005846A4" w:rsidP="00BD3ED6">
      <w:pPr>
        <w:ind w:left="576"/>
        <w:jc w:val="both"/>
      </w:pPr>
      <w:r>
        <w:t xml:space="preserve">Information will </w:t>
      </w:r>
      <w:r w:rsidR="00E1290F">
        <w:t xml:space="preserve">also </w:t>
      </w:r>
      <w:r>
        <w:t>be drawn from a number of local, provincial and federal sources,</w:t>
      </w:r>
    </w:p>
    <w:p w:rsidR="005846A4" w:rsidRDefault="005846A4" w:rsidP="00BD3ED6">
      <w:pPr>
        <w:ind w:left="576"/>
        <w:jc w:val="both"/>
      </w:pPr>
      <w:r>
        <w:t xml:space="preserve">including </w:t>
      </w:r>
      <w:proofErr w:type="spellStart"/>
      <w:r>
        <w:t>Dept</w:t>
      </w:r>
      <w:proofErr w:type="spellEnd"/>
      <w:r>
        <w:t xml:space="preserve"> of Justice </w:t>
      </w:r>
      <w:smartTag w:uri="urn:schemas-microsoft-com:office:smarttags" w:element="place">
        <w:smartTag w:uri="urn:schemas-microsoft-com:office:smarttags" w:element="country-region">
          <w:r>
            <w:t>Canada</w:t>
          </w:r>
        </w:smartTag>
      </w:smartTag>
      <w:r>
        <w:t xml:space="preserve"> website (</w:t>
      </w:r>
      <w:hyperlink r:id="rId9" w:history="1">
        <w:r w:rsidR="00B923AA" w:rsidRPr="00337627">
          <w:rPr>
            <w:rStyle w:val="Hyperlink"/>
          </w:rPr>
          <w:t>www.justice.gc.ca</w:t>
        </w:r>
      </w:hyperlink>
      <w:r w:rsidR="00B923AA">
        <w:t xml:space="preserve"> and </w:t>
      </w:r>
      <w:r>
        <w:t>following links to “</w:t>
      </w:r>
      <w:proofErr w:type="spellStart"/>
      <w:r>
        <w:t>YCJA</w:t>
      </w:r>
      <w:proofErr w:type="spellEnd"/>
      <w:r>
        <w:t xml:space="preserve"> Explained”)</w:t>
      </w:r>
      <w:r w:rsidR="00B923AA">
        <w:t xml:space="preserve"> and the Ministry of Children and Youth Services website (</w:t>
      </w:r>
      <w:hyperlink r:id="rId10"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A31264" w:rsidRDefault="00A31264" w:rsidP="00A31264">
      <w:pPr>
        <w:pStyle w:val="Heading3"/>
      </w:pPr>
      <w:r>
        <w:t>V.   EVALUATION PROCESS/GRADING SYSTEM:</w:t>
      </w:r>
    </w:p>
    <w:p w:rsidR="005C14A6" w:rsidRDefault="005C14A6" w:rsidP="005C14A6">
      <w:pPr>
        <w:ind w:left="900"/>
      </w:pPr>
    </w:p>
    <w:p w:rsidR="00A31264" w:rsidRDefault="00A31264" w:rsidP="00A31264">
      <w:pPr>
        <w:rPr>
          <w:b/>
          <w:lang w:val="en-GB"/>
        </w:rPr>
      </w:pPr>
      <w:r>
        <w:rPr>
          <w:b/>
        </w:rPr>
        <w:t>ATTENDANCE AND SKILL DEV</w:t>
      </w:r>
      <w:r w:rsidR="00902B17">
        <w:rPr>
          <w:b/>
        </w:rPr>
        <w:t xml:space="preserve">ELOPMENT                    </w:t>
      </w:r>
      <w:r w:rsidR="00902B17">
        <w:rPr>
          <w:b/>
        </w:rPr>
        <w:tab/>
      </w:r>
      <w:r w:rsidR="00902B17">
        <w:rPr>
          <w:b/>
        </w:rPr>
        <w:tab/>
      </w:r>
      <w:r w:rsidR="00902B17">
        <w:rPr>
          <w:b/>
        </w:rPr>
        <w:tab/>
        <w:t>3</w:t>
      </w:r>
      <w:r>
        <w:rPr>
          <w:b/>
        </w:rPr>
        <w:t>0</w:t>
      </w:r>
      <w:r w:rsidRPr="009314A4">
        <w:rPr>
          <w:b/>
        </w:rPr>
        <w:t>%</w:t>
      </w:r>
    </w:p>
    <w:p w:rsidR="00A31264" w:rsidRDefault="00A31264" w:rsidP="00A31264">
      <w:pPr>
        <w:jc w:val="both"/>
        <w:rPr>
          <w:lang w:val="en-GB"/>
        </w:rPr>
      </w:pPr>
      <w:r w:rsidRPr="009314A4">
        <w:rPr>
          <w:lang w:val="en-GB"/>
        </w:rPr>
        <w:t xml:space="preserve"> </w:t>
      </w:r>
    </w:p>
    <w:p w:rsidR="00A31264" w:rsidRPr="009314A4" w:rsidRDefault="00A31264" w:rsidP="00A31264">
      <w:pPr>
        <w:jc w:val="both"/>
        <w:rPr>
          <w:b/>
          <w:lang w:val="en-GB"/>
        </w:rPr>
      </w:pPr>
      <w:r w:rsidRPr="009314A4">
        <w:rPr>
          <w:i/>
        </w:rPr>
        <w:t xml:space="preserve">Students will engage in activities and discussions during regularly scheduled classes.  </w:t>
      </w:r>
      <w:r>
        <w:rPr>
          <w:i/>
        </w:rPr>
        <w:t xml:space="preserve">Attendance (10%) will be determined by the total number of classroom hours that the student attends, based on a 3 hour class for 15 weeks. </w:t>
      </w:r>
      <w:r w:rsidRPr="009314A4">
        <w:rPr>
          <w:i/>
        </w:rPr>
        <w:t>The</w:t>
      </w:r>
      <w:r w:rsidR="009664EE">
        <w:rPr>
          <w:i/>
        </w:rPr>
        <w:t xml:space="preserve"> Skill Development mark (2</w:t>
      </w:r>
      <w:r>
        <w:rPr>
          <w:i/>
        </w:rPr>
        <w:t>0%)</w:t>
      </w:r>
      <w:r w:rsidRPr="009314A4">
        <w:rPr>
          <w:i/>
        </w:rPr>
        <w:t xml:space="preserve"> </w:t>
      </w:r>
      <w:r>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proofErr w:type="spellStart"/>
      <w:r w:rsidR="00272A71">
        <w:rPr>
          <w:i/>
        </w:rPr>
        <w:t>LMS</w:t>
      </w:r>
      <w:proofErr w:type="spellEnd"/>
      <w:r w:rsidRPr="009314A4">
        <w:rPr>
          <w:i/>
        </w:rPr>
        <w:t>.</w:t>
      </w:r>
      <w:r>
        <w:rPr>
          <w:i/>
        </w:rPr>
        <w:t xml:space="preserve"> </w:t>
      </w:r>
      <w:r>
        <w:rPr>
          <w:i/>
        </w:rPr>
        <w:tab/>
      </w:r>
    </w:p>
    <w:p w:rsidR="00A31264" w:rsidRDefault="00A31264" w:rsidP="00A31264">
      <w:pPr>
        <w:jc w:val="both"/>
        <w:rPr>
          <w:lang w:val="en-GB"/>
        </w:rPr>
      </w:pPr>
    </w:p>
    <w:p w:rsidR="00A31264" w:rsidRDefault="00A31264" w:rsidP="00A31264">
      <w:pPr>
        <w:pStyle w:val="EnvelopeReturn"/>
        <w:jc w:val="both"/>
        <w:rPr>
          <w:rFonts w:ascii="Times New Roman" w:hAnsi="Times New Roman"/>
          <w:b/>
          <w:bCs/>
        </w:rPr>
      </w:pPr>
    </w:p>
    <w:p w:rsidR="00A31264" w:rsidRPr="009314A4" w:rsidRDefault="00A31264" w:rsidP="00A31264">
      <w:pPr>
        <w:jc w:val="both"/>
        <w:rPr>
          <w:b/>
          <w:bCs/>
        </w:rPr>
      </w:pPr>
      <w:r w:rsidRPr="009314A4">
        <w:rPr>
          <w:b/>
          <w:bCs/>
        </w:rPr>
        <w:t xml:space="preserve">ASSIGNMENTS                                                                          </w:t>
      </w:r>
      <w:r w:rsidR="00902B17">
        <w:rPr>
          <w:b/>
          <w:bCs/>
        </w:rPr>
        <w:tab/>
      </w:r>
      <w:r w:rsidR="00902B17">
        <w:rPr>
          <w:b/>
          <w:bCs/>
        </w:rPr>
        <w:tab/>
      </w:r>
      <w:r w:rsidR="00902B17">
        <w:rPr>
          <w:b/>
          <w:bCs/>
        </w:rPr>
        <w:tab/>
        <w:t>4</w:t>
      </w:r>
      <w:r w:rsidRPr="009314A4">
        <w:rPr>
          <w:b/>
          <w:bCs/>
        </w:rPr>
        <w:t>0%</w:t>
      </w:r>
    </w:p>
    <w:p w:rsidR="00A31264" w:rsidRDefault="00A31264" w:rsidP="00A31264">
      <w:pPr>
        <w:jc w:val="both"/>
        <w:rPr>
          <w:bCs/>
          <w:i/>
        </w:rPr>
      </w:pPr>
    </w:p>
    <w:p w:rsidR="00A31264" w:rsidRPr="00814506" w:rsidRDefault="00A31264" w:rsidP="00A31264">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 xml:space="preserve">e in small group presentations, case work, </w:t>
      </w:r>
      <w:proofErr w:type="gramStart"/>
      <w:r>
        <w:rPr>
          <w:i/>
        </w:rPr>
        <w:t>group</w:t>
      </w:r>
      <w:proofErr w:type="gramEnd"/>
      <w:r>
        <w:rPr>
          <w:i/>
        </w:rPr>
        <w:t xml:space="preserve"> work and in</w:t>
      </w:r>
      <w:r w:rsidRPr="00814506">
        <w:rPr>
          <w:i/>
        </w:rPr>
        <w:t xml:space="preserve"> class activities and discussions during regularly scheduled classes.  The format and assessment of the activities will be discussed in class and posted on </w:t>
      </w:r>
      <w:proofErr w:type="spellStart"/>
      <w:r w:rsidR="00272A71">
        <w:rPr>
          <w:i/>
        </w:rPr>
        <w:t>LMS</w:t>
      </w:r>
      <w:proofErr w:type="spellEnd"/>
      <w:r w:rsidRPr="00814506">
        <w:rPr>
          <w:i/>
        </w:rPr>
        <w:t>.</w:t>
      </w:r>
    </w:p>
    <w:p w:rsidR="00272A71" w:rsidRDefault="00272A71" w:rsidP="00272A71">
      <w:pPr>
        <w:pStyle w:val="EnvelopeReturn"/>
        <w:jc w:val="both"/>
        <w:rPr>
          <w:rFonts w:ascii="Times New Roman" w:hAnsi="Times New Roman"/>
          <w:b/>
          <w:bCs/>
        </w:rPr>
      </w:pPr>
    </w:p>
    <w:p w:rsidR="00272A71" w:rsidRPr="009314A4" w:rsidRDefault="00272A71" w:rsidP="00272A71">
      <w:pPr>
        <w:pStyle w:val="EnvelopeReturn"/>
        <w:jc w:val="both"/>
        <w:rPr>
          <w:rFonts w:ascii="Times New Roman" w:hAnsi="Times New Roman"/>
          <w:b/>
          <w:bCs/>
        </w:rPr>
      </w:pPr>
      <w:r>
        <w:rPr>
          <w:rFonts w:ascii="Times New Roman" w:hAnsi="Times New Roman"/>
          <w:b/>
          <w:bCs/>
        </w:rPr>
        <w:t>TESTS     (3</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t>3</w:t>
      </w:r>
      <w:r w:rsidRPr="009314A4">
        <w:rPr>
          <w:rFonts w:ascii="Times New Roman" w:hAnsi="Times New Roman"/>
          <w:b/>
          <w:bCs/>
        </w:rPr>
        <w:t>0%</w:t>
      </w:r>
    </w:p>
    <w:p w:rsidR="00272A71" w:rsidRDefault="00272A71" w:rsidP="00272A71">
      <w:pPr>
        <w:jc w:val="both"/>
        <w:rPr>
          <w:bCs/>
          <w:i/>
          <w:iCs/>
        </w:rPr>
      </w:pPr>
    </w:p>
    <w:p w:rsidR="00272A71" w:rsidRDefault="00272A71" w:rsidP="00272A71">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A31264" w:rsidRDefault="00A31264" w:rsidP="00A31264">
      <w:pPr>
        <w:jc w:val="both"/>
      </w:pPr>
    </w:p>
    <w:p w:rsidR="00A31264" w:rsidRDefault="00A31264" w:rsidP="00A31264">
      <w:pPr>
        <w:jc w:val="both"/>
      </w:pPr>
    </w:p>
    <w:p w:rsidR="00A31264" w:rsidRPr="009314A4" w:rsidRDefault="00A31264" w:rsidP="00A31264">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A31264" w:rsidRDefault="00A31264" w:rsidP="00A31264">
      <w:pPr>
        <w:rPr>
          <w:rFonts w:cs="Arial"/>
        </w:rPr>
      </w:pPr>
    </w:p>
    <w:p w:rsidR="00A31264" w:rsidRDefault="00A31264" w:rsidP="00A31264">
      <w:pPr>
        <w:jc w:val="both"/>
        <w:rPr>
          <w:rFonts w:cs="Arial"/>
          <w:b/>
        </w:rPr>
      </w:pPr>
    </w:p>
    <w:p w:rsidR="00A31264" w:rsidRDefault="00A31264" w:rsidP="00A31264">
      <w:pPr>
        <w:jc w:val="both"/>
        <w:rPr>
          <w:rFonts w:cs="Arial"/>
          <w:b/>
        </w:rPr>
      </w:pPr>
    </w:p>
    <w:p w:rsidR="00A31264" w:rsidRPr="00471F02" w:rsidRDefault="00A31264" w:rsidP="00A31264">
      <w:pPr>
        <w:jc w:val="both"/>
        <w:rPr>
          <w:rFonts w:cs="Arial"/>
          <w:b/>
        </w:rPr>
      </w:pPr>
      <w:r w:rsidRPr="00471F02">
        <w:rPr>
          <w:rFonts w:cs="Arial"/>
          <w:b/>
        </w:rPr>
        <w:lastRenderedPageBreak/>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272A71">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r w:rsidR="00272A71">
        <w:rPr>
          <w:rFonts w:cs="Arial"/>
          <w:b/>
        </w:rPr>
        <w:t>LMS</w:t>
      </w:r>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rsidR="001850F1" w:rsidRPr="00BD3ED6" w:rsidRDefault="001850F1" w:rsidP="00BD3ED6">
      <w:pPr>
        <w:rPr>
          <w:lang w:val="en-US"/>
        </w:rPr>
      </w:pPr>
    </w:p>
    <w:p w:rsidR="005846A4" w:rsidRDefault="005846A4" w:rsidP="005846A4"/>
    <w:p w:rsidR="005846A4" w:rsidRDefault="005846A4" w:rsidP="00BD3ED6">
      <w:pPr>
        <w:tabs>
          <w:tab w:val="right" w:pos="5220"/>
        </w:tabs>
      </w:pPr>
    </w:p>
    <w:tbl>
      <w:tblPr>
        <w:tblW w:w="0" w:type="auto"/>
        <w:tblLayout w:type="fixed"/>
        <w:tblLook w:val="0000" w:firstRow="0" w:lastRow="0" w:firstColumn="0" w:lastColumn="0" w:noHBand="0" w:noVBand="0"/>
      </w:tblPr>
      <w:tblGrid>
        <w:gridCol w:w="675"/>
        <w:gridCol w:w="8181"/>
      </w:tblGrid>
      <w:tr w:rsidR="005846A4">
        <w:tc>
          <w:tcPr>
            <w:tcW w:w="675" w:type="dxa"/>
          </w:tcPr>
          <w:p w:rsidR="005846A4" w:rsidRDefault="005846A4">
            <w:pPr>
              <w:pStyle w:val="EnvelopeReturn"/>
              <w:rPr>
                <w:b/>
                <w:bCs/>
              </w:rPr>
            </w:pPr>
          </w:p>
        </w:tc>
        <w:tc>
          <w:tcPr>
            <w:tcW w:w="8181" w:type="dxa"/>
          </w:tcPr>
          <w:p w:rsidR="005846A4" w:rsidRDefault="005846A4">
            <w:pPr>
              <w:rPr>
                <w:b/>
                <w:bCs/>
              </w:rPr>
            </w:pPr>
            <w:r>
              <w:rPr>
                <w:b/>
                <w:bCs/>
              </w:rPr>
              <w:t>The following semester grades will be assigned to students in post-secondary courses:</w:t>
            </w:r>
          </w:p>
        </w:tc>
      </w:tr>
    </w:tbl>
    <w:p w:rsidR="005846A4" w:rsidRDefault="005846A4" w:rsidP="005846A4"/>
    <w:tbl>
      <w:tblPr>
        <w:tblW w:w="0" w:type="auto"/>
        <w:tblLayout w:type="fixed"/>
        <w:tblLook w:val="0000" w:firstRow="0" w:lastRow="0" w:firstColumn="0" w:lastColumn="0" w:noHBand="0" w:noVBand="0"/>
      </w:tblPr>
      <w:tblGrid>
        <w:gridCol w:w="675"/>
        <w:gridCol w:w="1701"/>
        <w:gridCol w:w="4678"/>
        <w:gridCol w:w="2414"/>
      </w:tblGrid>
      <w:tr w:rsidR="005846A4">
        <w:tc>
          <w:tcPr>
            <w:tcW w:w="675" w:type="dxa"/>
          </w:tcPr>
          <w:p w:rsidR="005846A4" w:rsidRDefault="005846A4">
            <w:pPr>
              <w:jc w:val="center"/>
              <w:rPr>
                <w:u w:val="single"/>
              </w:rPr>
            </w:pPr>
          </w:p>
        </w:tc>
        <w:tc>
          <w:tcPr>
            <w:tcW w:w="1701" w:type="dxa"/>
          </w:tcPr>
          <w:p w:rsidR="005846A4" w:rsidRDefault="005846A4">
            <w:pPr>
              <w:pStyle w:val="Heading2"/>
              <w:jc w:val="center"/>
              <w:rPr>
                <w:rFonts w:ascii="Times New Roman" w:hAnsi="Times New Roman"/>
                <w:b w:val="0"/>
                <w:i w:val="0"/>
                <w:u w:val="single"/>
              </w:rPr>
            </w:pPr>
            <w:r>
              <w:rPr>
                <w:rFonts w:ascii="Times New Roman" w:hAnsi="Times New Roman"/>
                <w:b w:val="0"/>
                <w:i w:val="0"/>
                <w:u w:val="single"/>
              </w:rPr>
              <w:t>Grade</w:t>
            </w:r>
          </w:p>
        </w:tc>
        <w:tc>
          <w:tcPr>
            <w:tcW w:w="4678" w:type="dxa"/>
          </w:tcPr>
          <w:p w:rsidR="005846A4" w:rsidRDefault="005846A4">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2414" w:type="dxa"/>
          </w:tcPr>
          <w:p w:rsidR="005846A4" w:rsidRDefault="005846A4">
            <w:pPr>
              <w:pStyle w:val="BodyText"/>
              <w:rPr>
                <w:rFonts w:ascii="Times New Roman" w:hAnsi="Times New Roman" w:cs="Times New Roman"/>
                <w:sz w:val="24"/>
                <w:u w:val="single"/>
              </w:rPr>
            </w:pPr>
            <w:r>
              <w:rPr>
                <w:rFonts w:ascii="Times New Roman" w:hAnsi="Times New Roman" w:cs="Times New Roman"/>
                <w:sz w:val="24"/>
              </w:rPr>
              <w:t>Grade Point</w:t>
            </w:r>
            <w:r>
              <w:rPr>
                <w:rFonts w:ascii="Times New Roman" w:hAnsi="Times New Roman" w:cs="Times New Roman"/>
                <w:sz w:val="24"/>
                <w:u w:val="single"/>
              </w:rPr>
              <w:t xml:space="preserve"> Equivalent</w:t>
            </w:r>
          </w:p>
          <w:p w:rsidR="005846A4" w:rsidRDefault="005846A4">
            <w:pPr>
              <w:jc w:val="center"/>
              <w:rPr>
                <w:u w:val="single"/>
              </w:rPr>
            </w:pP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90 – 100%</w:t>
            </w:r>
          </w:p>
        </w:tc>
        <w:tc>
          <w:tcPr>
            <w:tcW w:w="2414" w:type="dxa"/>
            <w:vMerge w:val="restart"/>
            <w:vAlign w:val="center"/>
          </w:tcPr>
          <w:p w:rsidR="005846A4" w:rsidRDefault="005846A4">
            <w:pPr>
              <w:jc w:val="center"/>
            </w:pPr>
            <w:r>
              <w:t>4.00</w:t>
            </w: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80 – 89%</w:t>
            </w:r>
          </w:p>
        </w:tc>
        <w:tc>
          <w:tcPr>
            <w:tcW w:w="2414" w:type="dxa"/>
            <w:vMerge/>
            <w:vAlign w:val="center"/>
          </w:tcPr>
          <w:p w:rsidR="005846A4" w:rsidRDefault="005846A4"/>
        </w:tc>
      </w:tr>
      <w:tr w:rsidR="005846A4">
        <w:tc>
          <w:tcPr>
            <w:tcW w:w="675" w:type="dxa"/>
          </w:tcPr>
          <w:p w:rsidR="005846A4" w:rsidRDefault="005846A4"/>
        </w:tc>
        <w:tc>
          <w:tcPr>
            <w:tcW w:w="1701" w:type="dxa"/>
          </w:tcPr>
          <w:p w:rsidR="005846A4" w:rsidRDefault="005846A4">
            <w:r>
              <w:t>B</w:t>
            </w:r>
          </w:p>
        </w:tc>
        <w:tc>
          <w:tcPr>
            <w:tcW w:w="4678" w:type="dxa"/>
          </w:tcPr>
          <w:p w:rsidR="005846A4" w:rsidRDefault="005846A4">
            <w:pPr>
              <w:jc w:val="center"/>
            </w:pPr>
            <w:r>
              <w:t>70 - 79%</w:t>
            </w:r>
          </w:p>
        </w:tc>
        <w:tc>
          <w:tcPr>
            <w:tcW w:w="2414" w:type="dxa"/>
          </w:tcPr>
          <w:p w:rsidR="005846A4" w:rsidRDefault="005846A4">
            <w:pPr>
              <w:jc w:val="center"/>
            </w:pPr>
            <w:r>
              <w:t>3.00</w:t>
            </w:r>
          </w:p>
        </w:tc>
      </w:tr>
      <w:tr w:rsidR="005846A4">
        <w:tc>
          <w:tcPr>
            <w:tcW w:w="675" w:type="dxa"/>
          </w:tcPr>
          <w:p w:rsidR="005846A4" w:rsidRDefault="005846A4"/>
        </w:tc>
        <w:tc>
          <w:tcPr>
            <w:tcW w:w="1701" w:type="dxa"/>
          </w:tcPr>
          <w:p w:rsidR="005846A4" w:rsidRDefault="005846A4">
            <w:r>
              <w:t>C</w:t>
            </w:r>
          </w:p>
        </w:tc>
        <w:tc>
          <w:tcPr>
            <w:tcW w:w="4678" w:type="dxa"/>
          </w:tcPr>
          <w:p w:rsidR="005846A4" w:rsidRDefault="005846A4">
            <w:pPr>
              <w:jc w:val="center"/>
            </w:pPr>
            <w:r>
              <w:t>60 - 69%</w:t>
            </w:r>
          </w:p>
        </w:tc>
        <w:tc>
          <w:tcPr>
            <w:tcW w:w="2414" w:type="dxa"/>
          </w:tcPr>
          <w:p w:rsidR="005846A4" w:rsidRDefault="005846A4">
            <w:pPr>
              <w:jc w:val="center"/>
            </w:pPr>
            <w:r>
              <w:t>2.00</w:t>
            </w:r>
          </w:p>
        </w:tc>
      </w:tr>
      <w:tr w:rsidR="005846A4">
        <w:tc>
          <w:tcPr>
            <w:tcW w:w="675" w:type="dxa"/>
          </w:tcPr>
          <w:p w:rsidR="005846A4" w:rsidRDefault="005846A4"/>
        </w:tc>
        <w:tc>
          <w:tcPr>
            <w:tcW w:w="1701" w:type="dxa"/>
          </w:tcPr>
          <w:p w:rsidR="005846A4" w:rsidRDefault="005846A4">
            <w:r>
              <w:t>D</w:t>
            </w:r>
          </w:p>
        </w:tc>
        <w:tc>
          <w:tcPr>
            <w:tcW w:w="4678" w:type="dxa"/>
          </w:tcPr>
          <w:p w:rsidR="005846A4" w:rsidRDefault="005846A4">
            <w:pPr>
              <w:jc w:val="center"/>
            </w:pPr>
            <w:r>
              <w:t>50 – 59%</w:t>
            </w:r>
          </w:p>
        </w:tc>
        <w:tc>
          <w:tcPr>
            <w:tcW w:w="2414" w:type="dxa"/>
          </w:tcPr>
          <w:p w:rsidR="005846A4" w:rsidRDefault="005846A4">
            <w:pPr>
              <w:jc w:val="center"/>
            </w:pPr>
            <w:r>
              <w:t>1.00</w:t>
            </w:r>
          </w:p>
        </w:tc>
      </w:tr>
      <w:tr w:rsidR="005846A4">
        <w:tc>
          <w:tcPr>
            <w:tcW w:w="675" w:type="dxa"/>
          </w:tcPr>
          <w:p w:rsidR="005846A4" w:rsidRDefault="005846A4"/>
        </w:tc>
        <w:tc>
          <w:tcPr>
            <w:tcW w:w="1701" w:type="dxa"/>
          </w:tcPr>
          <w:p w:rsidR="005846A4" w:rsidRDefault="005846A4">
            <w:r>
              <w:t>F (Fail)</w:t>
            </w:r>
          </w:p>
        </w:tc>
        <w:tc>
          <w:tcPr>
            <w:tcW w:w="4678" w:type="dxa"/>
          </w:tcPr>
          <w:p w:rsidR="005846A4" w:rsidRDefault="005846A4">
            <w:pPr>
              <w:jc w:val="center"/>
            </w:pPr>
            <w:r>
              <w:t>49% and below</w:t>
            </w:r>
          </w:p>
        </w:tc>
        <w:tc>
          <w:tcPr>
            <w:tcW w:w="2414" w:type="dxa"/>
          </w:tcPr>
          <w:p w:rsidR="005846A4" w:rsidRDefault="005846A4">
            <w:pPr>
              <w:jc w:val="center"/>
            </w:pPr>
            <w:r>
              <w:t>0.00</w:t>
            </w: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CR (Credit)</w:t>
            </w:r>
          </w:p>
        </w:tc>
        <w:tc>
          <w:tcPr>
            <w:tcW w:w="4678" w:type="dxa"/>
          </w:tcPr>
          <w:p w:rsidR="005846A4" w:rsidRDefault="005846A4">
            <w:r>
              <w:t>Credit for diploma requirements has been awarded.</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S</w:t>
            </w:r>
          </w:p>
        </w:tc>
        <w:tc>
          <w:tcPr>
            <w:tcW w:w="4678" w:type="dxa"/>
          </w:tcPr>
          <w:p w:rsidR="005846A4" w:rsidRDefault="005846A4">
            <w:r>
              <w:t>Satisfactory achievement in field /clinical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U</w:t>
            </w:r>
          </w:p>
        </w:tc>
        <w:tc>
          <w:tcPr>
            <w:tcW w:w="4678" w:type="dxa"/>
          </w:tcPr>
          <w:p w:rsidR="005846A4" w:rsidRDefault="005846A4">
            <w:r>
              <w:t>Unsatisfactory achievement in field/clinical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X</w:t>
            </w:r>
          </w:p>
        </w:tc>
        <w:tc>
          <w:tcPr>
            <w:tcW w:w="4678" w:type="dxa"/>
          </w:tcPr>
          <w:p w:rsidR="005846A4" w:rsidRDefault="005846A4">
            <w:r>
              <w:t>A temporary grade limited to situations with extenuating circumstances giving a student additional time to complete the requirements for a course.</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NR</w:t>
            </w:r>
          </w:p>
        </w:tc>
        <w:tc>
          <w:tcPr>
            <w:tcW w:w="4678" w:type="dxa"/>
          </w:tcPr>
          <w:p w:rsidR="005846A4" w:rsidRDefault="005846A4">
            <w:r>
              <w:t xml:space="preserve">Grade not reported to Registrar's office.  </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W</w:t>
            </w:r>
          </w:p>
        </w:tc>
        <w:tc>
          <w:tcPr>
            <w:tcW w:w="4678" w:type="dxa"/>
          </w:tcPr>
          <w:p w:rsidR="005846A4" w:rsidRDefault="005846A4">
            <w:r>
              <w:t>Student has withdrawn from the course without academic penalty.</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8793" w:type="dxa"/>
            <w:gridSpan w:val="3"/>
          </w:tcPr>
          <w:p w:rsidR="005846A4" w:rsidRDefault="005846A4">
            <w:r>
              <w:rPr>
                <w:b/>
                <w:bCs/>
              </w:rPr>
              <w:t xml:space="preserve">Note:  </w:t>
            </w:r>
            <w:r>
              <w:t>For such reasons as program certification or program articulation, certain courses require minimums of greater than 50% and/or have mandatory components to achieve a passing grade.</w:t>
            </w:r>
          </w:p>
          <w:p w:rsidR="005846A4" w:rsidRDefault="005846A4"/>
          <w:p w:rsidR="005846A4" w:rsidRDefault="005846A4">
            <w:r>
              <w:t>It is also important to note, that the minimum o</w:t>
            </w:r>
            <w:r w:rsidR="00154235">
              <w:t xml:space="preserve">verall GPA required in order to </w:t>
            </w:r>
            <w:r>
              <w:t>graduate from a Sault College program remains 2.0.</w:t>
            </w:r>
          </w:p>
          <w:p w:rsidR="003D30FF" w:rsidRDefault="003D30FF"/>
          <w:p w:rsidR="001850F1" w:rsidRDefault="001850F1" w:rsidP="00B26A7A">
            <w:pPr>
              <w:pStyle w:val="PlainText"/>
            </w:pPr>
          </w:p>
        </w:tc>
      </w:tr>
    </w:tbl>
    <w:p w:rsidR="00B26A7A" w:rsidRDefault="00B26A7A" w:rsidP="005846A4">
      <w:r>
        <w:br w:type="page"/>
      </w:r>
    </w:p>
    <w:p w:rsidR="00000679" w:rsidRDefault="00000679" w:rsidP="005846A4"/>
    <w:tbl>
      <w:tblPr>
        <w:tblW w:w="0" w:type="auto"/>
        <w:tblLayout w:type="fixed"/>
        <w:tblLook w:val="0000" w:firstRow="0" w:lastRow="0" w:firstColumn="0" w:lastColumn="0" w:noHBand="0" w:noVBand="0"/>
      </w:tblPr>
      <w:tblGrid>
        <w:gridCol w:w="675"/>
        <w:gridCol w:w="8793"/>
      </w:tblGrid>
      <w:tr w:rsidR="005846A4">
        <w:tc>
          <w:tcPr>
            <w:tcW w:w="675" w:type="dxa"/>
          </w:tcPr>
          <w:p w:rsidR="005846A4" w:rsidRDefault="005846A4">
            <w:pPr>
              <w:rPr>
                <w:b/>
              </w:rPr>
            </w:pPr>
            <w:smartTag w:uri="urn:schemas-microsoft-com:office:smarttags" w:element="stockticker">
              <w:r>
                <w:rPr>
                  <w:b/>
                </w:rPr>
                <w:t>VII</w:t>
              </w:r>
            </w:smartTag>
            <w:r>
              <w:rPr>
                <w:b/>
              </w:rPr>
              <w:t>.</w:t>
            </w:r>
          </w:p>
        </w:tc>
        <w:tc>
          <w:tcPr>
            <w:tcW w:w="8793" w:type="dxa"/>
          </w:tcPr>
          <w:p w:rsidR="005846A4" w:rsidRDefault="005846A4">
            <w:pPr>
              <w:rPr>
                <w:b/>
              </w:rPr>
            </w:pPr>
            <w:r>
              <w:rPr>
                <w:b/>
              </w:rPr>
              <w:t>SPECIAL NOTES:</w:t>
            </w:r>
          </w:p>
          <w:p w:rsidR="005846A4" w:rsidRDefault="005846A4"/>
        </w:tc>
      </w:tr>
    </w:tbl>
    <w:p w:rsidR="005846A4" w:rsidRDefault="00991832" w:rsidP="00F3215A">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3215A" w:rsidRDefault="00F3215A" w:rsidP="005846A4"/>
    <w:p w:rsidR="00F3215A" w:rsidRPr="00283ADD" w:rsidRDefault="00F3215A" w:rsidP="00F3215A">
      <w:pPr>
        <w:ind w:left="720"/>
        <w:rPr>
          <w:i/>
        </w:rPr>
      </w:pPr>
      <w:r w:rsidRPr="00283ADD">
        <w:rPr>
          <w:i/>
        </w:rPr>
        <w:t>Students may not be allowed to enter the classroom once the class has begun depending on the focus of the session.  Students may be asked to wait until the break to enter the classroom however the final decision rests with the professor.</w:t>
      </w:r>
    </w:p>
    <w:p w:rsidR="005846A4" w:rsidRDefault="005846A4" w:rsidP="005846A4"/>
    <w:p w:rsidR="00B26A7A" w:rsidRPr="003D30FF" w:rsidRDefault="00B26A7A" w:rsidP="005846A4"/>
    <w:p w:rsidR="003207EA" w:rsidRDefault="00F3215A">
      <w:r w:rsidRPr="00283ADD">
        <w:rPr>
          <w:b/>
        </w:rPr>
        <w:t>V</w:t>
      </w:r>
      <w:r w:rsidR="003E697E">
        <w:rPr>
          <w:b/>
        </w:rPr>
        <w:t>I</w:t>
      </w:r>
      <w:r w:rsidRPr="00283ADD">
        <w:rPr>
          <w:b/>
        </w:rPr>
        <w:t>II</w:t>
      </w:r>
      <w:r w:rsidR="00283ADD" w:rsidRPr="00283ADD">
        <w:rPr>
          <w:b/>
        </w:rPr>
        <w:t>.</w:t>
      </w:r>
      <w:r w:rsidRPr="00283ADD">
        <w:rPr>
          <w:b/>
        </w:rPr>
        <w:tab/>
        <w:t>COURSE</w:t>
      </w:r>
      <w:r w:rsidR="00283ADD" w:rsidRPr="00283ADD">
        <w:rPr>
          <w:b/>
        </w:rPr>
        <w:t xml:space="preserve"> OUTLINE ADDENDUM</w:t>
      </w:r>
      <w:r w:rsidR="00283ADD">
        <w:t>:</w:t>
      </w:r>
    </w:p>
    <w:p w:rsidR="00283ADD" w:rsidRDefault="00283ADD"/>
    <w:p w:rsidR="00283ADD" w:rsidRPr="003D30FF" w:rsidRDefault="00283ADD" w:rsidP="00283ADD">
      <w:pPr>
        <w:ind w:left="720"/>
      </w:pPr>
      <w:r>
        <w:t>The provisions contained in the addendum located on the portal form part of this course outline.</w:t>
      </w:r>
    </w:p>
    <w:sectPr w:rsidR="00283ADD" w:rsidRPr="003D30FF"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64" w:rsidRDefault="00A31264">
      <w:r>
        <w:separator/>
      </w:r>
    </w:p>
  </w:endnote>
  <w:endnote w:type="continuationSeparator" w:id="0">
    <w:p w:rsidR="00A31264" w:rsidRDefault="00A3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64" w:rsidRDefault="00A31264">
      <w:r>
        <w:separator/>
      </w:r>
    </w:p>
  </w:footnote>
  <w:footnote w:type="continuationSeparator" w:id="0">
    <w:p w:rsidR="00A31264" w:rsidRDefault="00A3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64" w:rsidRPr="00441FE0" w:rsidRDefault="00A31264"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Pr="00441FE0">
      <w:rPr>
        <w:rStyle w:val="PageNumber"/>
        <w:b/>
      </w:rPr>
      <w:fldChar w:fldCharType="begin"/>
    </w:r>
    <w:r w:rsidRPr="00441FE0">
      <w:rPr>
        <w:rStyle w:val="PageNumber"/>
        <w:b/>
      </w:rPr>
      <w:instrText xml:space="preserve"> PAGE </w:instrText>
    </w:r>
    <w:r w:rsidRPr="00441FE0">
      <w:rPr>
        <w:rStyle w:val="PageNumber"/>
        <w:b/>
      </w:rPr>
      <w:fldChar w:fldCharType="separate"/>
    </w:r>
    <w:r w:rsidR="006D1679">
      <w:rPr>
        <w:rStyle w:val="PageNumber"/>
        <w:b/>
        <w:noProof/>
      </w:rPr>
      <w:t>6</w:t>
    </w:r>
    <w:r w:rsidRPr="00441FE0">
      <w:rPr>
        <w:rStyle w:val="PageNumber"/>
        <w:b/>
      </w:rPr>
      <w:fldChar w:fldCharType="end"/>
    </w:r>
    <w:r w:rsidRPr="00441FE0">
      <w:rPr>
        <w:rStyle w:val="PageNumber"/>
        <w:b/>
      </w:rPr>
      <w:tab/>
      <w:t>CYW232</w:t>
    </w:r>
  </w:p>
  <w:p w:rsidR="00A31264" w:rsidRDefault="00A31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36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7">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10">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1">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2">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3">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1"/>
    <w:lvlOverride w:ilvl="0">
      <w:startOverride w:val="1"/>
    </w:lvlOverride>
  </w:num>
  <w:num w:numId="2">
    <w:abstractNumId w:val="13"/>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6"/>
    <w:lvlOverride w:ilvl="0">
      <w:startOverride w:val="2"/>
    </w:lvlOverride>
  </w:num>
  <w:num w:numId="5">
    <w:abstractNumId w:val="9"/>
    <w:lvlOverride w:ilvl="0">
      <w:startOverride w:val="3"/>
    </w:lvlOverride>
  </w:num>
  <w:num w:numId="6">
    <w:abstractNumId w:val="10"/>
    <w:lvlOverride w:ilvl="0">
      <w:startOverride w:val="1"/>
    </w:lvlOverride>
  </w:num>
  <w:num w:numId="7">
    <w:abstractNumId w:val="3"/>
    <w:lvlOverride w:ilvl="0">
      <w:startOverride w:val="4"/>
    </w:lvlOverride>
  </w:num>
  <w:num w:numId="8">
    <w:abstractNumId w:val="12"/>
    <w:lvlOverride w:ilvl="0">
      <w:startOverride w:val="5"/>
    </w:lvlOverride>
  </w:num>
  <w:num w:numId="9">
    <w:abstractNumId w:val="5"/>
    <w:lvlOverride w:ilvl="0">
      <w:startOverride w:val="1"/>
    </w:lvlOverride>
  </w:num>
  <w:num w:numId="10">
    <w:abstractNumId w:val="2"/>
    <w:lvlOverride w:ilvl="0">
      <w:startOverride w:val="3"/>
    </w:lvlOverride>
  </w:num>
  <w:num w:numId="11">
    <w:abstractNumId w:val="7"/>
    <w:lvlOverride w:ilvl="0">
      <w:startOverride w:val="4"/>
    </w:lvlOverride>
  </w:num>
  <w:num w:numId="12">
    <w:abstractNumId w:val="8"/>
    <w:lvlOverride w:ilvl="0">
      <w:startOverride w:val="6"/>
    </w:lvlOverride>
  </w:num>
  <w:num w:numId="13">
    <w:abstractNumId w:val="1"/>
    <w:lvlOverride w:ilvl="0">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000679"/>
    <w:rsid w:val="00007AF0"/>
    <w:rsid w:val="00011E8C"/>
    <w:rsid w:val="0008361E"/>
    <w:rsid w:val="000B69C5"/>
    <w:rsid w:val="00154235"/>
    <w:rsid w:val="001850F1"/>
    <w:rsid w:val="001A7912"/>
    <w:rsid w:val="001B4E82"/>
    <w:rsid w:val="001C4C46"/>
    <w:rsid w:val="001D133C"/>
    <w:rsid w:val="001D3567"/>
    <w:rsid w:val="00221634"/>
    <w:rsid w:val="0022501B"/>
    <w:rsid w:val="00233AAC"/>
    <w:rsid w:val="00257612"/>
    <w:rsid w:val="00272A71"/>
    <w:rsid w:val="00283ADD"/>
    <w:rsid w:val="002E2BCE"/>
    <w:rsid w:val="002F68A9"/>
    <w:rsid w:val="003207EA"/>
    <w:rsid w:val="00377F69"/>
    <w:rsid w:val="00392881"/>
    <w:rsid w:val="003A7FF3"/>
    <w:rsid w:val="003D30FF"/>
    <w:rsid w:val="003D4BB7"/>
    <w:rsid w:val="003D7E4D"/>
    <w:rsid w:val="003E697E"/>
    <w:rsid w:val="00410B99"/>
    <w:rsid w:val="00441FE0"/>
    <w:rsid w:val="00463A42"/>
    <w:rsid w:val="004773E9"/>
    <w:rsid w:val="004B237D"/>
    <w:rsid w:val="004B75DD"/>
    <w:rsid w:val="004D79B1"/>
    <w:rsid w:val="004F413D"/>
    <w:rsid w:val="005002A1"/>
    <w:rsid w:val="00510546"/>
    <w:rsid w:val="005634BC"/>
    <w:rsid w:val="005846A4"/>
    <w:rsid w:val="00586122"/>
    <w:rsid w:val="005C14A6"/>
    <w:rsid w:val="005E5057"/>
    <w:rsid w:val="00662D79"/>
    <w:rsid w:val="00665C96"/>
    <w:rsid w:val="00666C4D"/>
    <w:rsid w:val="006758C6"/>
    <w:rsid w:val="006D1679"/>
    <w:rsid w:val="00722755"/>
    <w:rsid w:val="007326D1"/>
    <w:rsid w:val="00746AA5"/>
    <w:rsid w:val="00752EBD"/>
    <w:rsid w:val="00757336"/>
    <w:rsid w:val="0078153C"/>
    <w:rsid w:val="007838A0"/>
    <w:rsid w:val="007A186E"/>
    <w:rsid w:val="007C07BC"/>
    <w:rsid w:val="007C48F0"/>
    <w:rsid w:val="007E63FC"/>
    <w:rsid w:val="007E7D5D"/>
    <w:rsid w:val="008501C6"/>
    <w:rsid w:val="008540FE"/>
    <w:rsid w:val="00890C4E"/>
    <w:rsid w:val="00890C66"/>
    <w:rsid w:val="00897CF6"/>
    <w:rsid w:val="008A5F32"/>
    <w:rsid w:val="00902B17"/>
    <w:rsid w:val="009076CE"/>
    <w:rsid w:val="00923EAB"/>
    <w:rsid w:val="009402A4"/>
    <w:rsid w:val="00944CD4"/>
    <w:rsid w:val="0095495F"/>
    <w:rsid w:val="00960A60"/>
    <w:rsid w:val="009664EE"/>
    <w:rsid w:val="00991832"/>
    <w:rsid w:val="009D4014"/>
    <w:rsid w:val="00A31264"/>
    <w:rsid w:val="00A34061"/>
    <w:rsid w:val="00A5522E"/>
    <w:rsid w:val="00AB441D"/>
    <w:rsid w:val="00AE7CB0"/>
    <w:rsid w:val="00B20FBD"/>
    <w:rsid w:val="00B26A7A"/>
    <w:rsid w:val="00B81151"/>
    <w:rsid w:val="00B923AA"/>
    <w:rsid w:val="00BA2CE5"/>
    <w:rsid w:val="00BB4487"/>
    <w:rsid w:val="00BD1A12"/>
    <w:rsid w:val="00BD3ED6"/>
    <w:rsid w:val="00C2183A"/>
    <w:rsid w:val="00C222DB"/>
    <w:rsid w:val="00C24D6A"/>
    <w:rsid w:val="00C36EAB"/>
    <w:rsid w:val="00C77B86"/>
    <w:rsid w:val="00C814E6"/>
    <w:rsid w:val="00CB0DFA"/>
    <w:rsid w:val="00CC3178"/>
    <w:rsid w:val="00CF50FD"/>
    <w:rsid w:val="00E10AE5"/>
    <w:rsid w:val="00E1290F"/>
    <w:rsid w:val="00EA2E32"/>
    <w:rsid w:val="00EA5D38"/>
    <w:rsid w:val="00F3215A"/>
    <w:rsid w:val="00F62D4E"/>
    <w:rsid w:val="00F74175"/>
    <w:rsid w:val="00FE5137"/>
    <w:rsid w:val="00FF7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hildren.gov.on.ca" TargetMode="External"/><Relationship Id="rId4" Type="http://schemas.openxmlformats.org/officeDocument/2006/relationships/settings" Target="settings.xml"/><Relationship Id="rId9" Type="http://schemas.openxmlformats.org/officeDocument/2006/relationships/hyperlink" Target="http://www.justice.gc.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B1CEE-A6F0-48B5-AB4D-386F4A33B91F}"/>
</file>

<file path=customXml/itemProps2.xml><?xml version="1.0" encoding="utf-8"?>
<ds:datastoreItem xmlns:ds="http://schemas.openxmlformats.org/officeDocument/2006/customXml" ds:itemID="{DCBB5E41-FCA6-4AF4-A9F1-49ADDAA567F8}"/>
</file>

<file path=customXml/itemProps3.xml><?xml version="1.0" encoding="utf-8"?>
<ds:datastoreItem xmlns:ds="http://schemas.openxmlformats.org/officeDocument/2006/customXml" ds:itemID="{C33FD068-A28D-4ECE-82CD-A410BD67DDD0}"/>
</file>

<file path=docProps/app.xml><?xml version="1.0" encoding="utf-8"?>
<Properties xmlns="http://schemas.openxmlformats.org/officeDocument/2006/extended-properties" xmlns:vt="http://schemas.openxmlformats.org/officeDocument/2006/docPropsVTypes">
  <Template>Normal.dotm</Template>
  <TotalTime>7</TotalTime>
  <Pages>6</Pages>
  <Words>1556</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10730</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MacDonald</dc:creator>
  <cp:lastModifiedBy>Gina Guidocci</cp:lastModifiedBy>
  <cp:revision>6</cp:revision>
  <cp:lastPrinted>2013-12-24T14:21:00Z</cp:lastPrinted>
  <dcterms:created xsi:type="dcterms:W3CDTF">2013-05-28T14:15:00Z</dcterms:created>
  <dcterms:modified xsi:type="dcterms:W3CDTF">2013-12-24T14:21:00Z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2404800</vt:r8>
  </property>
</Properties>
</file>